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ACB77" w14:textId="3CE10E16" w:rsidR="000E3CBA" w:rsidRPr="000E3CBA" w:rsidRDefault="000E3CBA" w:rsidP="000E3CBA">
      <w:pPr>
        <w:jc w:val="center"/>
        <w:rPr>
          <w:rFonts w:ascii="Times New Roman" w:hAnsi="Times New Roman" w:cs="Times New Roman"/>
          <w:b/>
          <w:bCs/>
          <w:sz w:val="24"/>
          <w:szCs w:val="24"/>
          <w:lang w:val="en-US"/>
        </w:rPr>
      </w:pPr>
      <w:r w:rsidRPr="000E3CBA">
        <w:rPr>
          <w:rFonts w:ascii="Times New Roman" w:hAnsi="Times New Roman" w:cs="Times New Roman"/>
          <w:b/>
          <w:bCs/>
          <w:sz w:val="24"/>
          <w:szCs w:val="24"/>
          <w:lang w:val="en-US"/>
        </w:rPr>
        <w:t xml:space="preserve">PROJECTS AND INTERNATIONAL COLLABORATIONS </w:t>
      </w:r>
      <w:r>
        <w:rPr>
          <w:rFonts w:ascii="Times New Roman" w:hAnsi="Times New Roman" w:cs="Times New Roman"/>
          <w:b/>
          <w:bCs/>
          <w:sz w:val="24"/>
          <w:szCs w:val="24"/>
          <w:lang w:val="en-US"/>
        </w:rPr>
        <w:t>–</w:t>
      </w:r>
      <w:r w:rsidRPr="000E3CBA">
        <w:rPr>
          <w:rFonts w:ascii="Times New Roman" w:hAnsi="Times New Roman" w:cs="Times New Roman"/>
          <w:b/>
          <w:bCs/>
          <w:sz w:val="24"/>
          <w:szCs w:val="24"/>
          <w:lang w:val="en-US"/>
        </w:rPr>
        <w:t xml:space="preserve"> </w:t>
      </w:r>
      <w:r w:rsidRPr="000E3CBA">
        <w:rPr>
          <w:rFonts w:ascii="Times New Roman" w:hAnsi="Times New Roman" w:cs="Times New Roman"/>
          <w:b/>
          <w:bCs/>
          <w:sz w:val="24"/>
          <w:szCs w:val="24"/>
          <w:highlight w:val="yellow"/>
        </w:rPr>
        <w:t>название</w:t>
      </w:r>
      <w:r w:rsidRPr="000E3CBA">
        <w:rPr>
          <w:rFonts w:ascii="Times New Roman" w:hAnsi="Times New Roman" w:cs="Times New Roman"/>
          <w:b/>
          <w:bCs/>
          <w:sz w:val="24"/>
          <w:szCs w:val="24"/>
          <w:highlight w:val="yellow"/>
          <w:lang w:val="en-US"/>
        </w:rPr>
        <w:t xml:space="preserve"> </w:t>
      </w:r>
      <w:r w:rsidRPr="000E3CBA">
        <w:rPr>
          <w:rFonts w:ascii="Times New Roman" w:hAnsi="Times New Roman" w:cs="Times New Roman"/>
          <w:b/>
          <w:bCs/>
          <w:sz w:val="24"/>
          <w:szCs w:val="24"/>
          <w:highlight w:val="yellow"/>
        </w:rPr>
        <w:t>рубрики</w:t>
      </w:r>
      <w:r w:rsidRPr="000E3CBA">
        <w:rPr>
          <w:rFonts w:ascii="Times New Roman" w:hAnsi="Times New Roman" w:cs="Times New Roman"/>
          <w:b/>
          <w:bCs/>
          <w:sz w:val="24"/>
          <w:szCs w:val="24"/>
          <w:lang w:val="en-US"/>
        </w:rPr>
        <w:t xml:space="preserve"> </w:t>
      </w:r>
    </w:p>
    <w:p w14:paraId="7EAC8E3D" w14:textId="2C3A882A" w:rsidR="000E3CBA" w:rsidRPr="000E3CBA" w:rsidRDefault="000E3CBA" w:rsidP="000E3CBA">
      <w:pPr>
        <w:rPr>
          <w:rFonts w:ascii="Times New Roman" w:hAnsi="Times New Roman" w:cs="Times New Roman"/>
          <w:b/>
          <w:bCs/>
          <w:sz w:val="24"/>
          <w:szCs w:val="24"/>
          <w:lang w:val="en-US"/>
        </w:rPr>
      </w:pPr>
      <w:r w:rsidRPr="000E3CBA">
        <w:rPr>
          <w:rFonts w:ascii="Times New Roman" w:hAnsi="Times New Roman" w:cs="Times New Roman"/>
          <w:b/>
          <w:bCs/>
          <w:sz w:val="24"/>
          <w:szCs w:val="24"/>
          <w:lang w:val="en-US"/>
        </w:rPr>
        <w:t xml:space="preserve">Key Action 1: Learning Mobility of Individuals </w:t>
      </w:r>
      <w:r>
        <w:rPr>
          <w:rFonts w:ascii="Times New Roman" w:hAnsi="Times New Roman" w:cs="Times New Roman"/>
          <w:b/>
          <w:bCs/>
          <w:sz w:val="24"/>
          <w:szCs w:val="24"/>
          <w:lang w:val="en-US"/>
        </w:rPr>
        <w:t>–</w:t>
      </w:r>
      <w:r w:rsidRPr="000E3CBA">
        <w:rPr>
          <w:rFonts w:ascii="Times New Roman" w:hAnsi="Times New Roman" w:cs="Times New Roman"/>
          <w:b/>
          <w:bCs/>
          <w:sz w:val="24"/>
          <w:szCs w:val="24"/>
          <w:lang w:val="en-US"/>
        </w:rPr>
        <w:t xml:space="preserve"> </w:t>
      </w:r>
      <w:r w:rsidRPr="000E3CBA">
        <w:rPr>
          <w:rFonts w:ascii="Times New Roman" w:hAnsi="Times New Roman" w:cs="Times New Roman"/>
          <w:b/>
          <w:bCs/>
          <w:sz w:val="24"/>
          <w:szCs w:val="24"/>
          <w:highlight w:val="yellow"/>
        </w:rPr>
        <w:t>одна</w:t>
      </w:r>
      <w:r w:rsidRPr="000E3CBA">
        <w:rPr>
          <w:rFonts w:ascii="Times New Roman" w:hAnsi="Times New Roman" w:cs="Times New Roman"/>
          <w:b/>
          <w:bCs/>
          <w:sz w:val="24"/>
          <w:szCs w:val="24"/>
          <w:highlight w:val="yellow"/>
          <w:lang w:val="en-US"/>
        </w:rPr>
        <w:t xml:space="preserve"> </w:t>
      </w:r>
      <w:r w:rsidRPr="000E3CBA">
        <w:rPr>
          <w:rFonts w:ascii="Times New Roman" w:hAnsi="Times New Roman" w:cs="Times New Roman"/>
          <w:b/>
          <w:bCs/>
          <w:sz w:val="24"/>
          <w:szCs w:val="24"/>
          <w:highlight w:val="yellow"/>
        </w:rPr>
        <w:t>активная</w:t>
      </w:r>
      <w:r w:rsidRPr="000E3CBA">
        <w:rPr>
          <w:rFonts w:ascii="Times New Roman" w:hAnsi="Times New Roman" w:cs="Times New Roman"/>
          <w:b/>
          <w:bCs/>
          <w:sz w:val="24"/>
          <w:szCs w:val="24"/>
          <w:highlight w:val="yellow"/>
          <w:lang w:val="en-US"/>
        </w:rPr>
        <w:t xml:space="preserve"> </w:t>
      </w:r>
      <w:r w:rsidRPr="000E3CBA">
        <w:rPr>
          <w:rFonts w:ascii="Times New Roman" w:hAnsi="Times New Roman" w:cs="Times New Roman"/>
          <w:b/>
          <w:bCs/>
          <w:sz w:val="24"/>
          <w:szCs w:val="24"/>
          <w:highlight w:val="yellow"/>
        </w:rPr>
        <w:t>ссылка</w:t>
      </w:r>
    </w:p>
    <w:p w14:paraId="18AD9578" w14:textId="1C600210" w:rsidR="000E3CBA" w:rsidRPr="000E3CBA" w:rsidRDefault="000E3CBA" w:rsidP="000E3CBA">
      <w:pPr>
        <w:rPr>
          <w:rFonts w:ascii="Times New Roman" w:hAnsi="Times New Roman" w:cs="Times New Roman"/>
          <w:b/>
          <w:bCs/>
          <w:sz w:val="24"/>
          <w:szCs w:val="24"/>
          <w:lang w:val="en-US"/>
        </w:rPr>
      </w:pPr>
      <w:r w:rsidRPr="000E3CBA">
        <w:rPr>
          <w:rFonts w:ascii="Times New Roman" w:hAnsi="Times New Roman" w:cs="Times New Roman"/>
          <w:b/>
          <w:bCs/>
          <w:sz w:val="24"/>
          <w:szCs w:val="24"/>
          <w:lang w:val="en-US"/>
        </w:rPr>
        <w:t xml:space="preserve">Key Action 2: Cooperation for Partnerships </w:t>
      </w:r>
      <w:r>
        <w:rPr>
          <w:rFonts w:ascii="Times New Roman" w:hAnsi="Times New Roman" w:cs="Times New Roman"/>
          <w:b/>
          <w:bCs/>
          <w:sz w:val="24"/>
          <w:szCs w:val="24"/>
          <w:lang w:val="en-US"/>
        </w:rPr>
        <w:t>–</w:t>
      </w:r>
      <w:r w:rsidRPr="000E3CBA">
        <w:rPr>
          <w:rFonts w:ascii="Times New Roman" w:hAnsi="Times New Roman" w:cs="Times New Roman"/>
          <w:b/>
          <w:bCs/>
          <w:sz w:val="24"/>
          <w:szCs w:val="24"/>
          <w:lang w:val="en-US"/>
        </w:rPr>
        <w:t xml:space="preserve"> </w:t>
      </w:r>
      <w:r w:rsidRPr="000E3CBA">
        <w:rPr>
          <w:rFonts w:ascii="Times New Roman" w:hAnsi="Times New Roman" w:cs="Times New Roman"/>
          <w:b/>
          <w:bCs/>
          <w:sz w:val="24"/>
          <w:szCs w:val="24"/>
          <w:highlight w:val="yellow"/>
        </w:rPr>
        <w:t>вторая</w:t>
      </w:r>
      <w:r w:rsidRPr="000E3CBA">
        <w:rPr>
          <w:rFonts w:ascii="Times New Roman" w:hAnsi="Times New Roman" w:cs="Times New Roman"/>
          <w:b/>
          <w:bCs/>
          <w:sz w:val="24"/>
          <w:szCs w:val="24"/>
          <w:highlight w:val="yellow"/>
          <w:lang w:val="en-US"/>
        </w:rPr>
        <w:t xml:space="preserve"> </w:t>
      </w:r>
      <w:r w:rsidRPr="000E3CBA">
        <w:rPr>
          <w:rFonts w:ascii="Times New Roman" w:hAnsi="Times New Roman" w:cs="Times New Roman"/>
          <w:b/>
          <w:bCs/>
          <w:sz w:val="24"/>
          <w:szCs w:val="24"/>
          <w:highlight w:val="yellow"/>
        </w:rPr>
        <w:t>активная</w:t>
      </w:r>
      <w:r w:rsidRPr="000E3CBA">
        <w:rPr>
          <w:rFonts w:ascii="Times New Roman" w:hAnsi="Times New Roman" w:cs="Times New Roman"/>
          <w:b/>
          <w:bCs/>
          <w:sz w:val="24"/>
          <w:szCs w:val="24"/>
          <w:highlight w:val="yellow"/>
          <w:lang w:val="en-US"/>
        </w:rPr>
        <w:t xml:space="preserve"> </w:t>
      </w:r>
      <w:r w:rsidRPr="000E3CBA">
        <w:rPr>
          <w:rFonts w:ascii="Times New Roman" w:hAnsi="Times New Roman" w:cs="Times New Roman"/>
          <w:b/>
          <w:bCs/>
          <w:sz w:val="24"/>
          <w:szCs w:val="24"/>
          <w:highlight w:val="yellow"/>
        </w:rPr>
        <w:t>ссылка</w:t>
      </w:r>
      <w:r w:rsidRPr="000E3CBA">
        <w:rPr>
          <w:rFonts w:ascii="Times New Roman" w:hAnsi="Times New Roman" w:cs="Times New Roman"/>
          <w:b/>
          <w:bCs/>
          <w:sz w:val="24"/>
          <w:szCs w:val="24"/>
          <w:lang w:val="en-US"/>
        </w:rPr>
        <w:t xml:space="preserve"> </w:t>
      </w:r>
    </w:p>
    <w:p w14:paraId="71F1B538" w14:textId="57A5F67C" w:rsidR="000E3CBA" w:rsidRPr="000E3CBA" w:rsidRDefault="000E3CBA" w:rsidP="000E3CBA">
      <w:pPr>
        <w:rPr>
          <w:rFonts w:ascii="Times New Roman" w:hAnsi="Times New Roman" w:cs="Times New Roman"/>
          <w:sz w:val="24"/>
          <w:szCs w:val="24"/>
          <w:lang w:val="en-US"/>
        </w:rPr>
      </w:pPr>
    </w:p>
    <w:p w14:paraId="14EDD235" w14:textId="2C557951" w:rsidR="000E3CBA" w:rsidRPr="000E3CBA" w:rsidRDefault="000E3CBA" w:rsidP="000E3CBA">
      <w:pPr>
        <w:rPr>
          <w:rFonts w:ascii="Times New Roman" w:hAnsi="Times New Roman" w:cs="Times New Roman"/>
          <w:b/>
          <w:bCs/>
          <w:sz w:val="24"/>
          <w:szCs w:val="24"/>
          <w:lang w:val="en-US"/>
        </w:rPr>
      </w:pPr>
      <w:r w:rsidRPr="000E3CBA">
        <w:rPr>
          <w:rFonts w:ascii="Times New Roman" w:hAnsi="Times New Roman" w:cs="Times New Roman"/>
          <w:b/>
          <w:bCs/>
          <w:sz w:val="24"/>
          <w:szCs w:val="24"/>
          <w:lang w:val="en-US"/>
        </w:rPr>
        <w:t>Key Action 1: Learning Mobility of Individuals</w:t>
      </w:r>
    </w:p>
    <w:p w14:paraId="5A78B82A" w14:textId="5CC02FEE" w:rsidR="000E3CBA" w:rsidRPr="000E3CBA" w:rsidRDefault="000E3CBA" w:rsidP="000E3CBA">
      <w:pPr>
        <w:rPr>
          <w:rFonts w:ascii="Times New Roman" w:hAnsi="Times New Roman" w:cs="Times New Roman"/>
          <w:sz w:val="24"/>
          <w:szCs w:val="24"/>
          <w:lang w:val="en-US"/>
        </w:rPr>
      </w:pPr>
      <w:r w:rsidRPr="000E3CBA">
        <w:rPr>
          <w:rFonts w:ascii="Times New Roman" w:hAnsi="Times New Roman" w:cs="Times New Roman"/>
          <w:sz w:val="24"/>
          <w:szCs w:val="24"/>
          <w:lang w:val="en-US"/>
        </w:rPr>
        <w:t>What is KA171 International Credit Mobility (ICM Program)?</w:t>
      </w:r>
    </w:p>
    <w:p w14:paraId="643E142C" w14:textId="77777777" w:rsidR="000E3CBA" w:rsidRPr="000E3CBA" w:rsidRDefault="000E3CBA" w:rsidP="000E3CBA">
      <w:pPr>
        <w:rPr>
          <w:rFonts w:ascii="Times New Roman" w:hAnsi="Times New Roman" w:cs="Times New Roman"/>
          <w:sz w:val="24"/>
          <w:szCs w:val="24"/>
          <w:lang w:val="en-US"/>
        </w:rPr>
      </w:pPr>
      <w:r w:rsidRPr="000E3CBA">
        <w:rPr>
          <w:rFonts w:ascii="Times New Roman" w:hAnsi="Times New Roman" w:cs="Times New Roman"/>
          <w:sz w:val="24"/>
          <w:szCs w:val="24"/>
          <w:lang w:val="en-US"/>
        </w:rPr>
        <w:t>KA171 is a type of project that offers higher education students and staff the opportunity to gain learning or professional experience in a country classified as a "third country not associated with the program" (which includes almost all countries outside the 27 EU member states and non-EU program countries such as Iceland, Liechtenstein, North Macedonia, Norway, Serbia, and Turkey).</w:t>
      </w:r>
    </w:p>
    <w:p w14:paraId="3C98D1EC" w14:textId="4E22193B" w:rsidR="000E3CBA" w:rsidRPr="000E3CBA" w:rsidRDefault="000E3CBA" w:rsidP="000E3CBA">
      <w:pPr>
        <w:rPr>
          <w:rFonts w:ascii="Times New Roman" w:hAnsi="Times New Roman" w:cs="Times New Roman"/>
          <w:sz w:val="24"/>
          <w:szCs w:val="24"/>
          <w:lang w:val="en-US"/>
        </w:rPr>
      </w:pPr>
      <w:r w:rsidRPr="000E3CBA">
        <w:rPr>
          <w:rFonts w:ascii="Times New Roman" w:hAnsi="Times New Roman" w:cs="Times New Roman"/>
          <w:sz w:val="24"/>
          <w:szCs w:val="24"/>
          <w:lang w:val="en-US"/>
        </w:rPr>
        <w:t>KA171 projects are mobility projects funded by EU external action funds.</w:t>
      </w:r>
      <w:r>
        <w:rPr>
          <w:rFonts w:ascii="Times New Roman" w:hAnsi="Times New Roman" w:cs="Times New Roman"/>
          <w:sz w:val="24"/>
          <w:szCs w:val="24"/>
        </w:rPr>
        <w:t xml:space="preserve"> </w:t>
      </w:r>
      <w:r w:rsidRPr="000E3CBA">
        <w:rPr>
          <w:rFonts w:ascii="Times New Roman" w:hAnsi="Times New Roman" w:cs="Times New Roman"/>
          <w:sz w:val="24"/>
          <w:szCs w:val="24"/>
          <w:lang w:val="en-US"/>
        </w:rPr>
        <w:t>Funds are divided into 12 different budget envelopes for 12 different regions, and the size of each budget envelope is determined according to EU external policy priorities.</w:t>
      </w:r>
    </w:p>
    <w:p w14:paraId="4DBA20D4" w14:textId="77777777" w:rsidR="000E3CBA" w:rsidRPr="000E3CBA" w:rsidRDefault="000E3CBA" w:rsidP="000E3CBA">
      <w:pPr>
        <w:rPr>
          <w:rFonts w:ascii="Times New Roman" w:hAnsi="Times New Roman" w:cs="Times New Roman"/>
          <w:sz w:val="24"/>
          <w:szCs w:val="24"/>
          <w:lang w:val="en-US"/>
        </w:rPr>
      </w:pPr>
      <w:r w:rsidRPr="000E3CBA">
        <w:rPr>
          <w:rFonts w:ascii="Times New Roman" w:hAnsi="Times New Roman" w:cs="Times New Roman"/>
          <w:sz w:val="24"/>
          <w:szCs w:val="24"/>
          <w:lang w:val="en-US"/>
        </w:rPr>
        <w:t>Only higher education institutions holding an ECHE (Erasmus Charter for Higher Education) and mobility consortia whose coordinating institution holds an ECHE can apply.</w:t>
      </w:r>
    </w:p>
    <w:p w14:paraId="788A338A" w14:textId="77777777" w:rsidR="000E3CBA" w:rsidRPr="000E3CBA" w:rsidRDefault="000E3CBA" w:rsidP="000E3CBA">
      <w:pPr>
        <w:rPr>
          <w:rFonts w:ascii="Times New Roman" w:hAnsi="Times New Roman" w:cs="Times New Roman"/>
          <w:sz w:val="24"/>
          <w:szCs w:val="24"/>
          <w:lang w:val="en-US"/>
        </w:rPr>
      </w:pPr>
      <w:r w:rsidRPr="000E3CBA">
        <w:rPr>
          <w:rFonts w:ascii="Times New Roman" w:hAnsi="Times New Roman" w:cs="Times New Roman"/>
          <w:sz w:val="24"/>
          <w:szCs w:val="24"/>
          <w:lang w:val="en-US"/>
        </w:rPr>
        <w:t>There is only one call for proposals per year, and institutions can submit only one application per call.</w:t>
      </w:r>
    </w:p>
    <w:p w14:paraId="68E81CC2" w14:textId="77777777" w:rsidR="000E3CBA" w:rsidRPr="000E3CBA" w:rsidRDefault="000E3CBA" w:rsidP="000E3CBA">
      <w:pPr>
        <w:rPr>
          <w:rFonts w:ascii="Times New Roman" w:hAnsi="Times New Roman" w:cs="Times New Roman"/>
          <w:sz w:val="24"/>
          <w:szCs w:val="24"/>
          <w:lang w:val="en-US"/>
        </w:rPr>
      </w:pPr>
      <w:r w:rsidRPr="000E3CBA">
        <w:rPr>
          <w:rFonts w:ascii="Times New Roman" w:hAnsi="Times New Roman" w:cs="Times New Roman"/>
          <w:sz w:val="24"/>
          <w:szCs w:val="24"/>
          <w:lang w:val="en-US"/>
        </w:rPr>
        <w:t>The duration of a project can be 24 or 36 months.</w:t>
      </w:r>
    </w:p>
    <w:p w14:paraId="2BA42069" w14:textId="77777777" w:rsidR="000E3CBA" w:rsidRPr="000E3CBA" w:rsidRDefault="000E3CBA" w:rsidP="000E3CBA">
      <w:pPr>
        <w:rPr>
          <w:rFonts w:ascii="Times New Roman" w:hAnsi="Times New Roman" w:cs="Times New Roman"/>
          <w:sz w:val="24"/>
          <w:szCs w:val="24"/>
          <w:lang w:val="en-US"/>
        </w:rPr>
      </w:pPr>
      <w:r w:rsidRPr="000E3CBA">
        <w:rPr>
          <w:rFonts w:ascii="Times New Roman" w:hAnsi="Times New Roman" w:cs="Times New Roman"/>
          <w:sz w:val="24"/>
          <w:szCs w:val="24"/>
          <w:lang w:val="en-US"/>
        </w:rPr>
        <w:t>Applications can be made for 100% staff mobility, 100% student mobility, or any combination of the two.</w:t>
      </w:r>
    </w:p>
    <w:p w14:paraId="527C1F21" w14:textId="77777777" w:rsidR="000E3CBA" w:rsidRPr="000E3CBA" w:rsidRDefault="000E3CBA" w:rsidP="000E3CBA">
      <w:pPr>
        <w:rPr>
          <w:rFonts w:ascii="Times New Roman" w:hAnsi="Times New Roman" w:cs="Times New Roman"/>
          <w:sz w:val="24"/>
          <w:szCs w:val="24"/>
          <w:lang w:val="en-US"/>
        </w:rPr>
      </w:pPr>
      <w:r w:rsidRPr="000E3CBA">
        <w:rPr>
          <w:rFonts w:ascii="Times New Roman" w:hAnsi="Times New Roman" w:cs="Times New Roman"/>
          <w:sz w:val="24"/>
          <w:szCs w:val="24"/>
          <w:lang w:val="en-US"/>
        </w:rPr>
        <w:t>Similarly, applications can be for 100% incoming mobility, 100% outgoing mobility, or any combination of the two.</w:t>
      </w:r>
    </w:p>
    <w:p w14:paraId="7EC31DA9" w14:textId="77777777" w:rsidR="000E3CBA" w:rsidRPr="000E3CBA" w:rsidRDefault="000E3CBA" w:rsidP="000E3CBA">
      <w:pPr>
        <w:rPr>
          <w:rFonts w:ascii="Times New Roman" w:hAnsi="Times New Roman" w:cs="Times New Roman"/>
          <w:sz w:val="24"/>
          <w:szCs w:val="24"/>
          <w:lang w:val="en-US"/>
        </w:rPr>
      </w:pPr>
      <w:r w:rsidRPr="000E3CBA">
        <w:rPr>
          <w:rFonts w:ascii="Times New Roman" w:hAnsi="Times New Roman" w:cs="Times New Roman"/>
          <w:sz w:val="24"/>
          <w:szCs w:val="24"/>
          <w:lang w:val="en-US"/>
        </w:rPr>
        <w:t>All grant payments for outgoing and incoming mobilities are made by the coordinating institution.</w:t>
      </w:r>
    </w:p>
    <w:p w14:paraId="7E01BE86" w14:textId="020B51CB" w:rsidR="000E3CBA" w:rsidRPr="000E3CBA" w:rsidRDefault="000E3CBA" w:rsidP="000E3CBA">
      <w:pPr>
        <w:rPr>
          <w:rFonts w:ascii="Times New Roman" w:hAnsi="Times New Roman" w:cs="Times New Roman"/>
          <w:b/>
          <w:bCs/>
          <w:sz w:val="24"/>
          <w:szCs w:val="24"/>
          <w:lang w:val="en-US"/>
        </w:rPr>
      </w:pPr>
      <w:r w:rsidRPr="00522182">
        <w:rPr>
          <w:rFonts w:ascii="Times New Roman" w:hAnsi="Times New Roman" w:cs="Times New Roman"/>
          <w:b/>
          <w:bCs/>
          <w:sz w:val="24"/>
          <w:szCs w:val="24"/>
          <w:highlight w:val="yellow"/>
          <w:lang w:val="en-US"/>
        </w:rPr>
        <w:t>Erasmus+ Grade Conversion Rules</w:t>
      </w:r>
      <w:r w:rsidR="00522182" w:rsidRPr="00522182">
        <w:rPr>
          <w:rFonts w:ascii="Times New Roman" w:hAnsi="Times New Roman" w:cs="Times New Roman"/>
          <w:b/>
          <w:bCs/>
          <w:sz w:val="24"/>
          <w:szCs w:val="24"/>
          <w:highlight w:val="yellow"/>
          <w:lang w:val="en-US"/>
        </w:rPr>
        <w:t xml:space="preserve"> (</w:t>
      </w:r>
      <w:r w:rsidR="00522182" w:rsidRPr="00522182">
        <w:rPr>
          <w:rFonts w:ascii="Times New Roman" w:hAnsi="Times New Roman" w:cs="Times New Roman"/>
          <w:b/>
          <w:bCs/>
          <w:sz w:val="24"/>
          <w:szCs w:val="24"/>
          <w:highlight w:val="yellow"/>
        </w:rPr>
        <w:t>Правила</w:t>
      </w:r>
      <w:r w:rsidR="00522182" w:rsidRPr="00522182">
        <w:rPr>
          <w:rFonts w:ascii="Times New Roman" w:hAnsi="Times New Roman" w:cs="Times New Roman"/>
          <w:b/>
          <w:bCs/>
          <w:sz w:val="24"/>
          <w:szCs w:val="24"/>
          <w:highlight w:val="yellow"/>
          <w:lang w:val="en-US"/>
        </w:rPr>
        <w:t xml:space="preserve"> </w:t>
      </w:r>
      <w:r w:rsidR="00522182" w:rsidRPr="00522182">
        <w:rPr>
          <w:rFonts w:ascii="Times New Roman" w:hAnsi="Times New Roman" w:cs="Times New Roman"/>
          <w:b/>
          <w:bCs/>
          <w:sz w:val="24"/>
          <w:szCs w:val="24"/>
          <w:highlight w:val="yellow"/>
        </w:rPr>
        <w:t>конвертации</w:t>
      </w:r>
      <w:r w:rsidR="00522182" w:rsidRPr="00522182">
        <w:rPr>
          <w:rFonts w:ascii="Times New Roman" w:hAnsi="Times New Roman" w:cs="Times New Roman"/>
          <w:b/>
          <w:bCs/>
          <w:sz w:val="24"/>
          <w:szCs w:val="24"/>
          <w:highlight w:val="yellow"/>
          <w:lang w:val="en-US"/>
        </w:rPr>
        <w:t xml:space="preserve"> </w:t>
      </w:r>
      <w:r w:rsidR="00522182" w:rsidRPr="00522182">
        <w:rPr>
          <w:rFonts w:ascii="Times New Roman" w:hAnsi="Times New Roman" w:cs="Times New Roman"/>
          <w:b/>
          <w:bCs/>
          <w:sz w:val="24"/>
          <w:szCs w:val="24"/>
          <w:highlight w:val="yellow"/>
        </w:rPr>
        <w:t>оценок</w:t>
      </w:r>
      <w:r w:rsidR="00522182" w:rsidRPr="00522182">
        <w:rPr>
          <w:rFonts w:ascii="Times New Roman" w:hAnsi="Times New Roman" w:cs="Times New Roman"/>
          <w:b/>
          <w:bCs/>
          <w:sz w:val="24"/>
          <w:szCs w:val="24"/>
          <w:highlight w:val="yellow"/>
          <w:lang w:val="en-US"/>
        </w:rPr>
        <w:t xml:space="preserve"> </w:t>
      </w:r>
      <w:r w:rsidR="00522182" w:rsidRPr="00522182">
        <w:rPr>
          <w:rFonts w:ascii="Times New Roman" w:hAnsi="Times New Roman" w:cs="Times New Roman"/>
          <w:b/>
          <w:bCs/>
          <w:sz w:val="24"/>
          <w:szCs w:val="24"/>
          <w:highlight w:val="yellow"/>
        </w:rPr>
        <w:t>по</w:t>
      </w:r>
      <w:r w:rsidR="00522182" w:rsidRPr="00522182">
        <w:rPr>
          <w:rFonts w:ascii="Times New Roman" w:hAnsi="Times New Roman" w:cs="Times New Roman"/>
          <w:b/>
          <w:bCs/>
          <w:sz w:val="24"/>
          <w:szCs w:val="24"/>
          <w:highlight w:val="yellow"/>
          <w:lang w:val="en-US"/>
        </w:rPr>
        <w:t xml:space="preserve"> </w:t>
      </w:r>
      <w:r w:rsidR="00522182" w:rsidRPr="00522182">
        <w:rPr>
          <w:rFonts w:ascii="Times New Roman" w:hAnsi="Times New Roman" w:cs="Times New Roman"/>
          <w:b/>
          <w:bCs/>
          <w:sz w:val="24"/>
          <w:szCs w:val="24"/>
          <w:highlight w:val="yellow"/>
        </w:rPr>
        <w:t>программе</w:t>
      </w:r>
      <w:r w:rsidR="00522182" w:rsidRPr="00522182">
        <w:rPr>
          <w:rFonts w:ascii="Times New Roman" w:hAnsi="Times New Roman" w:cs="Times New Roman"/>
          <w:b/>
          <w:bCs/>
          <w:sz w:val="24"/>
          <w:szCs w:val="24"/>
          <w:highlight w:val="yellow"/>
          <w:lang w:val="en-US"/>
        </w:rPr>
        <w:t xml:space="preserve"> Erasmus+</w:t>
      </w:r>
      <w:r w:rsidR="00522182" w:rsidRPr="00522182">
        <w:rPr>
          <w:rFonts w:ascii="Times New Roman" w:hAnsi="Times New Roman" w:cs="Times New Roman"/>
          <w:b/>
          <w:bCs/>
          <w:sz w:val="24"/>
          <w:szCs w:val="24"/>
          <w:highlight w:val="yellow"/>
          <w:lang w:val="en-US"/>
        </w:rPr>
        <w:t xml:space="preserve">)   </w:t>
      </w:r>
      <w:r w:rsidRPr="00522182">
        <w:rPr>
          <w:rFonts w:ascii="Times New Roman" w:hAnsi="Times New Roman" w:cs="Times New Roman"/>
          <w:b/>
          <w:bCs/>
          <w:sz w:val="24"/>
          <w:szCs w:val="24"/>
          <w:highlight w:val="yellow"/>
          <w:lang w:val="en-US"/>
        </w:rPr>
        <w:t xml:space="preserve"> – </w:t>
      </w:r>
      <w:r w:rsidRPr="00522182">
        <w:rPr>
          <w:rFonts w:ascii="Times New Roman" w:hAnsi="Times New Roman" w:cs="Times New Roman"/>
          <w:b/>
          <w:bCs/>
          <w:sz w:val="24"/>
          <w:szCs w:val="24"/>
          <w:highlight w:val="yellow"/>
        </w:rPr>
        <w:t>тоже</w:t>
      </w:r>
      <w:r w:rsidRPr="00522182">
        <w:rPr>
          <w:rFonts w:ascii="Times New Roman" w:hAnsi="Times New Roman" w:cs="Times New Roman"/>
          <w:b/>
          <w:bCs/>
          <w:sz w:val="24"/>
          <w:szCs w:val="24"/>
          <w:highlight w:val="yellow"/>
          <w:lang w:val="en-US"/>
        </w:rPr>
        <w:t xml:space="preserve"> </w:t>
      </w:r>
      <w:r w:rsidRPr="00522182">
        <w:rPr>
          <w:rFonts w:ascii="Times New Roman" w:hAnsi="Times New Roman" w:cs="Times New Roman"/>
          <w:b/>
          <w:bCs/>
          <w:sz w:val="24"/>
          <w:szCs w:val="24"/>
          <w:highlight w:val="yellow"/>
        </w:rPr>
        <w:t>активная</w:t>
      </w:r>
      <w:r w:rsidRPr="00522182">
        <w:rPr>
          <w:rFonts w:ascii="Times New Roman" w:hAnsi="Times New Roman" w:cs="Times New Roman"/>
          <w:b/>
          <w:bCs/>
          <w:sz w:val="24"/>
          <w:szCs w:val="24"/>
          <w:highlight w:val="yellow"/>
          <w:lang w:val="en-US"/>
        </w:rPr>
        <w:t xml:space="preserve"> </w:t>
      </w:r>
      <w:r w:rsidRPr="00522182">
        <w:rPr>
          <w:rFonts w:ascii="Times New Roman" w:hAnsi="Times New Roman" w:cs="Times New Roman"/>
          <w:b/>
          <w:bCs/>
          <w:sz w:val="24"/>
          <w:szCs w:val="24"/>
          <w:highlight w:val="yellow"/>
        </w:rPr>
        <w:t>ссылка</w:t>
      </w:r>
      <w:r w:rsidRPr="00522182">
        <w:rPr>
          <w:rFonts w:ascii="Times New Roman" w:hAnsi="Times New Roman" w:cs="Times New Roman"/>
          <w:b/>
          <w:bCs/>
          <w:sz w:val="24"/>
          <w:szCs w:val="24"/>
          <w:highlight w:val="yellow"/>
          <w:lang w:val="en-US"/>
        </w:rPr>
        <w:t xml:space="preserve"> </w:t>
      </w:r>
      <w:r w:rsidRPr="00522182">
        <w:rPr>
          <w:rFonts w:ascii="Times New Roman" w:hAnsi="Times New Roman" w:cs="Times New Roman"/>
          <w:b/>
          <w:bCs/>
          <w:sz w:val="24"/>
          <w:szCs w:val="24"/>
          <w:highlight w:val="yellow"/>
        </w:rPr>
        <w:t>на</w:t>
      </w:r>
      <w:r w:rsidRPr="00522182">
        <w:rPr>
          <w:rFonts w:ascii="Times New Roman" w:hAnsi="Times New Roman" w:cs="Times New Roman"/>
          <w:b/>
          <w:bCs/>
          <w:sz w:val="24"/>
          <w:szCs w:val="24"/>
          <w:highlight w:val="yellow"/>
          <w:lang w:val="en-US"/>
        </w:rPr>
        <w:t xml:space="preserve"> </w:t>
      </w:r>
      <w:r w:rsidRPr="00522182">
        <w:rPr>
          <w:rFonts w:ascii="Times New Roman" w:hAnsi="Times New Roman" w:cs="Times New Roman"/>
          <w:b/>
          <w:bCs/>
          <w:sz w:val="24"/>
          <w:szCs w:val="24"/>
          <w:highlight w:val="yellow"/>
        </w:rPr>
        <w:t>странице</w:t>
      </w:r>
      <w:r w:rsidRPr="00522182">
        <w:rPr>
          <w:rFonts w:ascii="Times New Roman" w:hAnsi="Times New Roman" w:cs="Times New Roman"/>
          <w:b/>
          <w:bCs/>
          <w:sz w:val="24"/>
          <w:szCs w:val="24"/>
          <w:highlight w:val="yellow"/>
          <w:lang w:val="en-US"/>
        </w:rPr>
        <w:t xml:space="preserve"> </w:t>
      </w:r>
      <w:r w:rsidRPr="00522182">
        <w:rPr>
          <w:rFonts w:ascii="Times New Roman" w:hAnsi="Times New Roman" w:cs="Times New Roman"/>
          <w:b/>
          <w:bCs/>
          <w:sz w:val="24"/>
          <w:szCs w:val="24"/>
          <w:highlight w:val="yellow"/>
          <w:lang w:val="en-US"/>
        </w:rPr>
        <w:t>Key Action 1: Learning Mobility of Individuals</w:t>
      </w:r>
      <w:r w:rsidRPr="000E3CBA">
        <w:rPr>
          <w:rFonts w:ascii="Times New Roman" w:hAnsi="Times New Roman" w:cs="Times New Roman"/>
          <w:b/>
          <w:bCs/>
          <w:sz w:val="24"/>
          <w:szCs w:val="24"/>
          <w:lang w:val="en-US"/>
        </w:rPr>
        <w:t xml:space="preserve"> </w:t>
      </w:r>
    </w:p>
    <w:p w14:paraId="68AAB2A1" w14:textId="23F70A66" w:rsidR="000E3CBA" w:rsidRPr="000E3CBA" w:rsidRDefault="000E3CBA" w:rsidP="000E3CBA">
      <w:pPr>
        <w:rPr>
          <w:rFonts w:ascii="Times New Roman" w:hAnsi="Times New Roman" w:cs="Times New Roman"/>
          <w:b/>
          <w:bCs/>
          <w:sz w:val="24"/>
          <w:szCs w:val="24"/>
          <w:lang w:val="en-US"/>
        </w:rPr>
      </w:pPr>
    </w:p>
    <w:p w14:paraId="4839462B" w14:textId="77777777" w:rsidR="000E3CBA" w:rsidRPr="000E3CBA" w:rsidRDefault="000E3CBA" w:rsidP="000E3CBA">
      <w:pPr>
        <w:rPr>
          <w:rFonts w:ascii="Times New Roman" w:hAnsi="Times New Roman" w:cs="Times New Roman"/>
          <w:b/>
          <w:bCs/>
          <w:sz w:val="24"/>
          <w:szCs w:val="24"/>
          <w:lang w:val="en-US"/>
        </w:rPr>
      </w:pPr>
    </w:p>
    <w:p w14:paraId="7B4F7FEB" w14:textId="77777777" w:rsidR="000E3CBA" w:rsidRPr="000E3CBA" w:rsidRDefault="000E3CBA" w:rsidP="000E3CBA">
      <w:pPr>
        <w:rPr>
          <w:rFonts w:ascii="Times New Roman" w:hAnsi="Times New Roman" w:cs="Times New Roman"/>
          <w:sz w:val="24"/>
          <w:szCs w:val="24"/>
          <w:lang w:val="en-US"/>
        </w:rPr>
      </w:pPr>
    </w:p>
    <w:p w14:paraId="66970FCE" w14:textId="77777777" w:rsidR="000E3CBA" w:rsidRPr="000E3CBA" w:rsidRDefault="000E3CBA" w:rsidP="000E3CBA">
      <w:pPr>
        <w:rPr>
          <w:rFonts w:ascii="Times New Roman" w:hAnsi="Times New Roman" w:cs="Times New Roman"/>
          <w:sz w:val="24"/>
          <w:szCs w:val="24"/>
          <w:lang w:val="en-US"/>
        </w:rPr>
      </w:pPr>
    </w:p>
    <w:p w14:paraId="3B3CFB10" w14:textId="77777777" w:rsidR="000E3CBA" w:rsidRPr="000E3CBA" w:rsidRDefault="000E3CBA" w:rsidP="000E3CBA">
      <w:pPr>
        <w:rPr>
          <w:rFonts w:ascii="Times New Roman" w:hAnsi="Times New Roman" w:cs="Times New Roman"/>
          <w:sz w:val="24"/>
          <w:szCs w:val="24"/>
          <w:lang w:val="en-US"/>
        </w:rPr>
      </w:pPr>
    </w:p>
    <w:p w14:paraId="7FEC31D4" w14:textId="77777777" w:rsidR="000E3CBA" w:rsidRPr="000E3CBA" w:rsidRDefault="000E3CBA" w:rsidP="000E3CBA">
      <w:pPr>
        <w:rPr>
          <w:rFonts w:ascii="Times New Roman" w:hAnsi="Times New Roman" w:cs="Times New Roman"/>
          <w:sz w:val="24"/>
          <w:szCs w:val="24"/>
          <w:lang w:val="en-US"/>
        </w:rPr>
      </w:pPr>
    </w:p>
    <w:p w14:paraId="7E926789" w14:textId="77777777" w:rsidR="000E3CBA" w:rsidRPr="000E3CBA" w:rsidRDefault="000E3CBA" w:rsidP="000E3CBA">
      <w:pPr>
        <w:rPr>
          <w:rFonts w:ascii="Times New Roman" w:hAnsi="Times New Roman" w:cs="Times New Roman"/>
          <w:sz w:val="24"/>
          <w:szCs w:val="24"/>
          <w:lang w:val="en-US"/>
        </w:rPr>
      </w:pPr>
    </w:p>
    <w:p w14:paraId="3D62CF11" w14:textId="77777777" w:rsidR="000E3CBA" w:rsidRPr="000E3CBA" w:rsidRDefault="000E3CBA" w:rsidP="000E3CBA">
      <w:pPr>
        <w:rPr>
          <w:rFonts w:ascii="Times New Roman" w:hAnsi="Times New Roman" w:cs="Times New Roman"/>
          <w:sz w:val="24"/>
          <w:szCs w:val="24"/>
          <w:lang w:val="en-US"/>
        </w:rPr>
      </w:pPr>
    </w:p>
    <w:p w14:paraId="509E0FB3" w14:textId="77777777" w:rsidR="000E3CBA" w:rsidRPr="000E3CBA" w:rsidRDefault="000E3CBA" w:rsidP="000E3CBA">
      <w:pPr>
        <w:rPr>
          <w:rFonts w:ascii="Times New Roman" w:hAnsi="Times New Roman" w:cs="Times New Roman"/>
          <w:sz w:val="24"/>
          <w:szCs w:val="24"/>
          <w:lang w:val="en-US"/>
        </w:rPr>
      </w:pPr>
    </w:p>
    <w:p w14:paraId="0C49226F" w14:textId="77777777" w:rsidR="000E3CBA" w:rsidRPr="000E3CBA" w:rsidRDefault="000E3CBA" w:rsidP="000E3CBA">
      <w:pPr>
        <w:rPr>
          <w:rFonts w:ascii="Times New Roman" w:hAnsi="Times New Roman" w:cs="Times New Roman"/>
          <w:sz w:val="24"/>
          <w:szCs w:val="24"/>
          <w:lang w:val="en-US"/>
        </w:rPr>
      </w:pPr>
    </w:p>
    <w:p w14:paraId="50D1BED3" w14:textId="77777777" w:rsidR="000E3CBA" w:rsidRPr="000E3CBA" w:rsidRDefault="000E3CBA" w:rsidP="000E3CBA">
      <w:pPr>
        <w:rPr>
          <w:rFonts w:ascii="Times New Roman" w:hAnsi="Times New Roman" w:cs="Times New Roman"/>
          <w:sz w:val="24"/>
          <w:szCs w:val="24"/>
          <w:lang w:val="en-US"/>
        </w:rPr>
      </w:pPr>
    </w:p>
    <w:p w14:paraId="463AA4A1" w14:textId="31B4CA28" w:rsidR="000E3CBA" w:rsidRPr="000E3CBA" w:rsidRDefault="000E3CBA" w:rsidP="000E3CBA">
      <w:pPr>
        <w:rPr>
          <w:rFonts w:ascii="Times New Roman" w:hAnsi="Times New Roman" w:cs="Times New Roman"/>
          <w:b/>
          <w:bCs/>
          <w:sz w:val="24"/>
          <w:szCs w:val="24"/>
          <w:lang w:val="en-US"/>
        </w:rPr>
      </w:pPr>
      <w:r w:rsidRPr="000E3CBA">
        <w:rPr>
          <w:rFonts w:ascii="Times New Roman" w:hAnsi="Times New Roman" w:cs="Times New Roman"/>
          <w:b/>
          <w:bCs/>
          <w:sz w:val="24"/>
          <w:szCs w:val="24"/>
          <w:lang w:val="en-US"/>
        </w:rPr>
        <w:t>Key Action 2: Cooperation for Partnerships</w:t>
      </w:r>
    </w:p>
    <w:p w14:paraId="1089646E" w14:textId="23CB3846" w:rsidR="000E3CBA" w:rsidRPr="000E3CBA" w:rsidRDefault="000E3CBA" w:rsidP="000E3CBA">
      <w:pPr>
        <w:rPr>
          <w:rFonts w:ascii="Times New Roman" w:hAnsi="Times New Roman" w:cs="Times New Roman"/>
          <w:sz w:val="24"/>
          <w:szCs w:val="24"/>
          <w:lang w:val="en-US"/>
        </w:rPr>
      </w:pPr>
      <w:r w:rsidRPr="000E3CBA">
        <w:rPr>
          <w:rFonts w:ascii="Times New Roman" w:hAnsi="Times New Roman" w:cs="Times New Roman"/>
          <w:sz w:val="24"/>
          <w:szCs w:val="24"/>
          <w:lang w:val="en-US"/>
        </w:rPr>
        <w:t>KA220 Cooperation Partnerships provide participating organizations/institutions with opportunities to gain experience in international collaboration, strengthen their capacities, expand and enhance their partnership networks, and produce high-quality, innovative outputs. Projects carried out under this activity aim to develop, transfer, and/or implement innovative practices while fostering cooperation, peer learning, and experience exchange at the European level.</w:t>
      </w:r>
    </w:p>
    <w:p w14:paraId="01DE7BA6" w14:textId="77777777" w:rsidR="000E3CBA" w:rsidRPr="000E3CBA" w:rsidRDefault="000E3CBA" w:rsidP="000E3CBA">
      <w:pPr>
        <w:rPr>
          <w:rFonts w:ascii="Times New Roman" w:hAnsi="Times New Roman" w:cs="Times New Roman"/>
          <w:sz w:val="24"/>
          <w:szCs w:val="24"/>
          <w:lang w:val="en-US"/>
        </w:rPr>
      </w:pPr>
      <w:r w:rsidRPr="000E3CBA">
        <w:rPr>
          <w:rFonts w:ascii="Times New Roman" w:hAnsi="Times New Roman" w:cs="Times New Roman"/>
          <w:sz w:val="24"/>
          <w:szCs w:val="24"/>
          <w:lang w:val="en-US"/>
        </w:rPr>
        <w:t>Cooperation Partnerships are projects that aim to support the development, transfer, and/or implementation of innovative practices at institutional, local, regional, national, or European levels.</w:t>
      </w:r>
    </w:p>
    <w:p w14:paraId="4F3A3ECF" w14:textId="77777777" w:rsidR="000E3CBA" w:rsidRPr="000E3CBA" w:rsidRDefault="000E3CBA" w:rsidP="000E3CBA">
      <w:pPr>
        <w:rPr>
          <w:rFonts w:ascii="Times New Roman" w:hAnsi="Times New Roman" w:cs="Times New Roman"/>
          <w:sz w:val="24"/>
          <w:szCs w:val="24"/>
          <w:lang w:val="en-US"/>
        </w:rPr>
      </w:pPr>
      <w:r w:rsidRPr="000E3CBA">
        <w:rPr>
          <w:rFonts w:ascii="Times New Roman" w:hAnsi="Times New Roman" w:cs="Times New Roman"/>
          <w:sz w:val="24"/>
          <w:szCs w:val="24"/>
          <w:lang w:val="en-US"/>
        </w:rPr>
        <w:t>Projects in this area enable institutions/organizations operating in school education, vocational education and training, adult education, higher education, and youth fields to establish transnational cooperation partnerships, develop joint networks at the European level, strengthen their internationalization capacities, develop new practices and methods, and share good practices and ideas.</w:t>
      </w:r>
    </w:p>
    <w:p w14:paraId="08886B30" w14:textId="77777777" w:rsidR="000E3CBA" w:rsidRPr="000E3CBA" w:rsidRDefault="000E3CBA" w:rsidP="000E3CBA">
      <w:pPr>
        <w:rPr>
          <w:rFonts w:ascii="Times New Roman" w:hAnsi="Times New Roman" w:cs="Times New Roman"/>
          <w:sz w:val="24"/>
          <w:szCs w:val="24"/>
          <w:lang w:val="en-US"/>
        </w:rPr>
      </w:pPr>
      <w:r w:rsidRPr="000E3CBA">
        <w:rPr>
          <w:rFonts w:ascii="Times New Roman" w:hAnsi="Times New Roman" w:cs="Times New Roman"/>
          <w:sz w:val="24"/>
          <w:szCs w:val="24"/>
          <w:lang w:val="en-US"/>
        </w:rPr>
        <w:t>Project results are expected to be reusable, transferable, scalable, and, if possible, have a strong interdisciplinary dimension, as well as be shared at local, regional, national, and transnational levels.</w:t>
      </w:r>
    </w:p>
    <w:p w14:paraId="7484CEB3" w14:textId="77777777" w:rsidR="000E3CBA" w:rsidRPr="000E3CBA" w:rsidRDefault="000E3CBA" w:rsidP="000E3CBA">
      <w:pPr>
        <w:rPr>
          <w:rFonts w:ascii="Times New Roman" w:hAnsi="Times New Roman" w:cs="Times New Roman"/>
          <w:sz w:val="24"/>
          <w:szCs w:val="24"/>
          <w:lang w:val="en-US"/>
        </w:rPr>
      </w:pPr>
      <w:r w:rsidRPr="000E3CBA">
        <w:rPr>
          <w:rFonts w:ascii="Times New Roman" w:hAnsi="Times New Roman" w:cs="Times New Roman"/>
          <w:sz w:val="24"/>
          <w:szCs w:val="24"/>
          <w:lang w:val="en-US"/>
        </w:rPr>
        <w:t>Cooperation Partnerships Aim to:</w:t>
      </w:r>
    </w:p>
    <w:p w14:paraId="25FAA70F" w14:textId="77777777" w:rsidR="000E3CBA" w:rsidRPr="000E3CBA" w:rsidRDefault="000E3CBA" w:rsidP="000E3CBA">
      <w:pPr>
        <w:rPr>
          <w:rFonts w:ascii="Times New Roman" w:hAnsi="Times New Roman" w:cs="Times New Roman"/>
          <w:sz w:val="24"/>
          <w:szCs w:val="24"/>
          <w:lang w:val="en-US"/>
        </w:rPr>
      </w:pPr>
      <w:r w:rsidRPr="000E3CBA">
        <w:rPr>
          <w:rFonts w:ascii="Times New Roman" w:hAnsi="Times New Roman" w:cs="Times New Roman"/>
          <w:sz w:val="24"/>
          <w:szCs w:val="24"/>
          <w:lang w:val="en-US"/>
        </w:rPr>
        <w:t>Improve the quality of work, activities, and practices of relevant organizations and institutions while opening up to new actors not naturally included in a specific sector;</w:t>
      </w:r>
    </w:p>
    <w:p w14:paraId="1BE7B202" w14:textId="77777777" w:rsidR="000E3CBA" w:rsidRPr="000E3CBA" w:rsidRDefault="000E3CBA" w:rsidP="000E3CBA">
      <w:pPr>
        <w:rPr>
          <w:rFonts w:ascii="Times New Roman" w:hAnsi="Times New Roman" w:cs="Times New Roman"/>
          <w:sz w:val="24"/>
          <w:szCs w:val="24"/>
          <w:lang w:val="en-US"/>
        </w:rPr>
      </w:pPr>
      <w:r w:rsidRPr="000E3CBA">
        <w:rPr>
          <w:rFonts w:ascii="Times New Roman" w:hAnsi="Times New Roman" w:cs="Times New Roman"/>
          <w:sz w:val="24"/>
          <w:szCs w:val="24"/>
          <w:lang w:val="en-US"/>
        </w:rPr>
        <w:t>Build the transnational and cross-sectoral working capacity of organizations;</w:t>
      </w:r>
    </w:p>
    <w:p w14:paraId="22A4BC1D" w14:textId="77777777" w:rsidR="000E3CBA" w:rsidRPr="000E3CBA" w:rsidRDefault="000E3CBA" w:rsidP="000E3CBA">
      <w:pPr>
        <w:rPr>
          <w:rFonts w:ascii="Times New Roman" w:hAnsi="Times New Roman" w:cs="Times New Roman"/>
          <w:sz w:val="24"/>
          <w:szCs w:val="24"/>
          <w:lang w:val="en-US"/>
        </w:rPr>
      </w:pPr>
      <w:r w:rsidRPr="000E3CBA">
        <w:rPr>
          <w:rFonts w:ascii="Times New Roman" w:hAnsi="Times New Roman" w:cs="Times New Roman"/>
          <w:sz w:val="24"/>
          <w:szCs w:val="24"/>
          <w:lang w:val="en-US"/>
        </w:rPr>
        <w:t>Address common needs and priorities in the fields of education, training, youth, and sports;</w:t>
      </w:r>
    </w:p>
    <w:p w14:paraId="24D15FA8" w14:textId="77777777" w:rsidR="000E3CBA" w:rsidRPr="000E3CBA" w:rsidRDefault="000E3CBA" w:rsidP="000E3CBA">
      <w:pPr>
        <w:rPr>
          <w:rFonts w:ascii="Times New Roman" w:hAnsi="Times New Roman" w:cs="Times New Roman"/>
          <w:sz w:val="24"/>
          <w:szCs w:val="24"/>
          <w:lang w:val="en-US"/>
        </w:rPr>
      </w:pPr>
      <w:r w:rsidRPr="000E3CBA">
        <w:rPr>
          <w:rFonts w:ascii="Times New Roman" w:hAnsi="Times New Roman" w:cs="Times New Roman"/>
          <w:sz w:val="24"/>
          <w:szCs w:val="24"/>
          <w:lang w:val="en-US"/>
        </w:rPr>
        <w:t>Drive transformation and change (at individual, organizational, or sectoral levels) that lead to improvements and new approaches in proportion to each organization's context.</w:t>
      </w:r>
    </w:p>
    <w:p w14:paraId="0F4F6F93" w14:textId="77777777" w:rsidR="000E3CBA" w:rsidRPr="000E3CBA" w:rsidRDefault="000E3CBA" w:rsidP="000E3CBA">
      <w:pPr>
        <w:rPr>
          <w:rFonts w:ascii="Times New Roman" w:hAnsi="Times New Roman" w:cs="Times New Roman"/>
          <w:sz w:val="24"/>
          <w:szCs w:val="24"/>
          <w:lang w:val="en-US"/>
        </w:rPr>
      </w:pPr>
      <w:r w:rsidRPr="000E3CBA">
        <w:rPr>
          <w:rFonts w:ascii="Times New Roman" w:hAnsi="Times New Roman" w:cs="Times New Roman"/>
          <w:sz w:val="24"/>
          <w:szCs w:val="24"/>
          <w:lang w:val="en-US"/>
        </w:rPr>
        <w:t>Cooperation Partnerships projects must address at least one horizontal and/or at least one sectoral priority.</w:t>
      </w:r>
    </w:p>
    <w:p w14:paraId="75780F13" w14:textId="77777777" w:rsidR="000E3CBA" w:rsidRPr="000E3CBA" w:rsidRDefault="000E3CBA" w:rsidP="000E3CBA">
      <w:pPr>
        <w:rPr>
          <w:rFonts w:ascii="Times New Roman" w:hAnsi="Times New Roman" w:cs="Times New Roman"/>
          <w:sz w:val="24"/>
          <w:szCs w:val="24"/>
          <w:lang w:val="en-US"/>
        </w:rPr>
      </w:pPr>
      <w:r w:rsidRPr="000E3CBA">
        <w:rPr>
          <w:rFonts w:ascii="Times New Roman" w:hAnsi="Times New Roman" w:cs="Times New Roman"/>
          <w:sz w:val="24"/>
          <w:szCs w:val="24"/>
          <w:lang w:val="en-US"/>
        </w:rPr>
        <w:t>Horizontal Priorities:</w:t>
      </w:r>
    </w:p>
    <w:p w14:paraId="19E74058" w14:textId="77777777" w:rsidR="000E3CBA" w:rsidRPr="000E3CBA" w:rsidRDefault="000E3CBA" w:rsidP="000E3CBA">
      <w:pPr>
        <w:rPr>
          <w:rFonts w:ascii="Times New Roman" w:hAnsi="Times New Roman" w:cs="Times New Roman"/>
          <w:sz w:val="24"/>
          <w:szCs w:val="24"/>
          <w:lang w:val="en-US"/>
        </w:rPr>
      </w:pPr>
      <w:r w:rsidRPr="000E3CBA">
        <w:rPr>
          <w:rFonts w:ascii="Times New Roman" w:hAnsi="Times New Roman" w:cs="Times New Roman"/>
          <w:sz w:val="24"/>
          <w:szCs w:val="24"/>
          <w:lang w:val="en-US"/>
        </w:rPr>
        <w:t>These include inclusion, digital transformation, environment and combating climate change, common values, and civic participation. They apply to all sectors.</w:t>
      </w:r>
    </w:p>
    <w:p w14:paraId="579C2DEF" w14:textId="77777777" w:rsidR="000E3CBA" w:rsidRPr="000E3CBA" w:rsidRDefault="000E3CBA" w:rsidP="000E3CBA">
      <w:pPr>
        <w:rPr>
          <w:rFonts w:ascii="Times New Roman" w:hAnsi="Times New Roman" w:cs="Times New Roman"/>
          <w:sz w:val="24"/>
          <w:szCs w:val="24"/>
          <w:lang w:val="en-US"/>
        </w:rPr>
      </w:pPr>
      <w:r w:rsidRPr="000E3CBA">
        <w:rPr>
          <w:rFonts w:ascii="Times New Roman" w:hAnsi="Times New Roman" w:cs="Times New Roman"/>
          <w:sz w:val="24"/>
          <w:szCs w:val="24"/>
          <w:lang w:val="en-US"/>
        </w:rPr>
        <w:t>Who Can Apply?</w:t>
      </w:r>
    </w:p>
    <w:p w14:paraId="1D9B0BFC" w14:textId="77777777" w:rsidR="000E3CBA" w:rsidRPr="000E3CBA" w:rsidRDefault="000E3CBA" w:rsidP="000E3CBA">
      <w:pPr>
        <w:rPr>
          <w:rFonts w:ascii="Times New Roman" w:hAnsi="Times New Roman" w:cs="Times New Roman"/>
          <w:sz w:val="24"/>
          <w:szCs w:val="24"/>
          <w:lang w:val="en-US"/>
        </w:rPr>
      </w:pPr>
      <w:r w:rsidRPr="000E3CBA">
        <w:rPr>
          <w:rFonts w:ascii="Times New Roman" w:hAnsi="Times New Roman" w:cs="Times New Roman"/>
          <w:sz w:val="24"/>
          <w:szCs w:val="24"/>
          <w:lang w:val="en-US"/>
        </w:rPr>
        <w:t>Applications are institutional. Any public or private organization with legal entity status, established in an EU Member State or a Program Country, that has been active for at least two years in the fields of education, training, youth, sports, and other socio-economic sectors, can apply. This organization submits the application to the National Agency in its country on behalf of all participating partner institutions.</w:t>
      </w:r>
    </w:p>
    <w:p w14:paraId="60277413" w14:textId="77777777" w:rsidR="000E3CBA" w:rsidRPr="000E3CBA" w:rsidRDefault="000E3CBA" w:rsidP="000E3CBA">
      <w:pPr>
        <w:rPr>
          <w:rFonts w:ascii="Times New Roman" w:hAnsi="Times New Roman" w:cs="Times New Roman"/>
          <w:sz w:val="24"/>
          <w:szCs w:val="24"/>
          <w:lang w:val="en-US"/>
        </w:rPr>
      </w:pPr>
      <w:r w:rsidRPr="000E3CBA">
        <w:rPr>
          <w:rFonts w:ascii="Times New Roman" w:hAnsi="Times New Roman" w:cs="Times New Roman"/>
          <w:sz w:val="24"/>
          <w:szCs w:val="24"/>
          <w:lang w:val="en-US"/>
        </w:rPr>
        <w:lastRenderedPageBreak/>
        <w:t>Only one application can be submitted with the same partners during the same call period.</w:t>
      </w:r>
    </w:p>
    <w:p w14:paraId="649CD936" w14:textId="77777777" w:rsidR="000E3CBA" w:rsidRPr="000E3CBA" w:rsidRDefault="000E3CBA" w:rsidP="000E3CBA">
      <w:pPr>
        <w:rPr>
          <w:rFonts w:ascii="Times New Roman" w:hAnsi="Times New Roman" w:cs="Times New Roman"/>
          <w:sz w:val="24"/>
          <w:szCs w:val="24"/>
          <w:lang w:val="en-US"/>
        </w:rPr>
      </w:pPr>
      <w:r w:rsidRPr="000E3CBA">
        <w:rPr>
          <w:rFonts w:ascii="Times New Roman" w:hAnsi="Times New Roman" w:cs="Times New Roman"/>
          <w:sz w:val="24"/>
          <w:szCs w:val="24"/>
          <w:lang w:val="en-US"/>
        </w:rPr>
        <w:t>For all KA220 projects submitted to National Agencies (except for higher education) in the fields of school education, vocational education, adult education, and youth, the same organization (with one OID) can participate as an applicant or a partner in a maximum of 10 KA220 projects until the final application deadline.</w:t>
      </w:r>
    </w:p>
    <w:p w14:paraId="7045E46D" w14:textId="77777777" w:rsidR="000E3CBA" w:rsidRPr="000E3CBA" w:rsidRDefault="000E3CBA" w:rsidP="000E3CBA">
      <w:pPr>
        <w:rPr>
          <w:rFonts w:ascii="Times New Roman" w:hAnsi="Times New Roman" w:cs="Times New Roman"/>
          <w:sz w:val="24"/>
          <w:szCs w:val="24"/>
          <w:lang w:val="en-US"/>
        </w:rPr>
      </w:pPr>
      <w:r w:rsidRPr="000E3CBA">
        <w:rPr>
          <w:rFonts w:ascii="Times New Roman" w:hAnsi="Times New Roman" w:cs="Times New Roman"/>
          <w:sz w:val="24"/>
          <w:szCs w:val="24"/>
          <w:lang w:val="en-US"/>
        </w:rPr>
        <w:t>Eligible Organizations:</w:t>
      </w:r>
    </w:p>
    <w:p w14:paraId="44591472" w14:textId="77777777" w:rsidR="000E3CBA" w:rsidRPr="000E3CBA" w:rsidRDefault="000E3CBA" w:rsidP="000E3CBA">
      <w:pPr>
        <w:rPr>
          <w:rFonts w:ascii="Times New Roman" w:hAnsi="Times New Roman" w:cs="Times New Roman"/>
          <w:sz w:val="24"/>
          <w:szCs w:val="24"/>
          <w:lang w:val="en-US"/>
        </w:rPr>
      </w:pPr>
      <w:r w:rsidRPr="000E3CBA">
        <w:rPr>
          <w:rFonts w:ascii="Times New Roman" w:hAnsi="Times New Roman" w:cs="Times New Roman"/>
          <w:sz w:val="24"/>
          <w:szCs w:val="24"/>
          <w:lang w:val="en-US"/>
        </w:rPr>
        <w:t>Cooperation Partnerships offer an opportunity for public or private legal entities from the fields of education, training, youth, sports, and other socio-economic sectors. Examples include:</w:t>
      </w:r>
    </w:p>
    <w:p w14:paraId="28723427" w14:textId="77777777" w:rsidR="000E3CBA" w:rsidRPr="000E3CBA" w:rsidRDefault="000E3CBA" w:rsidP="000E3CBA">
      <w:pPr>
        <w:rPr>
          <w:rFonts w:ascii="Times New Roman" w:hAnsi="Times New Roman" w:cs="Times New Roman"/>
          <w:sz w:val="24"/>
          <w:szCs w:val="24"/>
          <w:lang w:val="en-US"/>
        </w:rPr>
      </w:pPr>
      <w:r w:rsidRPr="000E3CBA">
        <w:rPr>
          <w:rFonts w:ascii="Times New Roman" w:hAnsi="Times New Roman" w:cs="Times New Roman"/>
          <w:sz w:val="24"/>
          <w:szCs w:val="24"/>
          <w:lang w:val="en-US"/>
        </w:rPr>
        <w:t>Higher education institutions, schools/institutes/education centers, NGOs, SMEs, public institutions at local/regional/national levels, chambers of commerce, industry/trade/professional associations, unions, research institutes, foundations, businesses/companies, libraries, museums, and institutions/organizations that recognize/validate knowledge, skills, and competencies gained through non-formal and informal learning.</w:t>
      </w:r>
    </w:p>
    <w:p w14:paraId="404794BC" w14:textId="77777777" w:rsidR="000E3CBA" w:rsidRPr="000E3CBA" w:rsidRDefault="000E3CBA" w:rsidP="000E3CBA">
      <w:pPr>
        <w:rPr>
          <w:rFonts w:ascii="Times New Roman" w:hAnsi="Times New Roman" w:cs="Times New Roman"/>
          <w:sz w:val="24"/>
          <w:szCs w:val="24"/>
          <w:lang w:val="en-US"/>
        </w:rPr>
      </w:pPr>
      <w:r w:rsidRPr="000E3CBA">
        <w:rPr>
          <w:rFonts w:ascii="Times New Roman" w:hAnsi="Times New Roman" w:cs="Times New Roman"/>
          <w:sz w:val="24"/>
          <w:szCs w:val="24"/>
          <w:lang w:val="en-US"/>
        </w:rPr>
        <w:t>Special Eligibility Criteria for Organizations:</w:t>
      </w:r>
    </w:p>
    <w:p w14:paraId="1521BE9A" w14:textId="77777777" w:rsidR="000E3CBA" w:rsidRPr="000E3CBA" w:rsidRDefault="000E3CBA" w:rsidP="000E3CBA">
      <w:pPr>
        <w:rPr>
          <w:rFonts w:ascii="Times New Roman" w:hAnsi="Times New Roman" w:cs="Times New Roman"/>
          <w:sz w:val="24"/>
          <w:szCs w:val="24"/>
          <w:lang w:val="en-US"/>
        </w:rPr>
      </w:pPr>
      <w:r w:rsidRPr="000E3CBA">
        <w:rPr>
          <w:rFonts w:ascii="Times New Roman" w:hAnsi="Times New Roman" w:cs="Times New Roman"/>
          <w:sz w:val="24"/>
          <w:szCs w:val="24"/>
          <w:lang w:val="en-US"/>
        </w:rPr>
        <w:t>The applicant organization must have been legally established at least two years before the final application deadline.</w:t>
      </w:r>
    </w:p>
    <w:p w14:paraId="4A99C64D" w14:textId="77777777" w:rsidR="000E3CBA" w:rsidRPr="000E3CBA" w:rsidRDefault="000E3CBA" w:rsidP="000E3CBA">
      <w:pPr>
        <w:rPr>
          <w:rFonts w:ascii="Times New Roman" w:hAnsi="Times New Roman" w:cs="Times New Roman"/>
          <w:sz w:val="24"/>
          <w:szCs w:val="24"/>
          <w:lang w:val="en-US"/>
        </w:rPr>
      </w:pPr>
      <w:r w:rsidRPr="000E3CBA">
        <w:rPr>
          <w:rFonts w:ascii="Times New Roman" w:hAnsi="Times New Roman" w:cs="Times New Roman"/>
          <w:sz w:val="24"/>
          <w:szCs w:val="24"/>
          <w:lang w:val="en-US"/>
        </w:rPr>
        <w:t>All participating organizations in the partnership must have legal entity status.</w:t>
      </w:r>
    </w:p>
    <w:p w14:paraId="08596632" w14:textId="77777777" w:rsidR="000E3CBA" w:rsidRPr="000E3CBA" w:rsidRDefault="000E3CBA" w:rsidP="000E3CBA">
      <w:pPr>
        <w:rPr>
          <w:rFonts w:ascii="Times New Roman" w:hAnsi="Times New Roman" w:cs="Times New Roman"/>
          <w:sz w:val="24"/>
          <w:szCs w:val="24"/>
          <w:lang w:val="en-US"/>
        </w:rPr>
      </w:pPr>
      <w:r w:rsidRPr="000E3CBA">
        <w:rPr>
          <w:rFonts w:ascii="Times New Roman" w:hAnsi="Times New Roman" w:cs="Times New Roman"/>
          <w:sz w:val="24"/>
          <w:szCs w:val="24"/>
          <w:lang w:val="en-US"/>
        </w:rPr>
        <w:t xml:space="preserve">All participating organizations must upload documents proving their legal status to the </w:t>
      </w:r>
      <w:proofErr w:type="spellStart"/>
      <w:r w:rsidRPr="000E3CBA">
        <w:rPr>
          <w:rFonts w:ascii="Times New Roman" w:hAnsi="Times New Roman" w:cs="Times New Roman"/>
          <w:sz w:val="24"/>
          <w:szCs w:val="24"/>
          <w:lang w:val="en-US"/>
        </w:rPr>
        <w:t>Organisation</w:t>
      </w:r>
      <w:proofErr w:type="spellEnd"/>
      <w:r w:rsidRPr="000E3CBA">
        <w:rPr>
          <w:rFonts w:ascii="Times New Roman" w:hAnsi="Times New Roman" w:cs="Times New Roman"/>
          <w:sz w:val="24"/>
          <w:szCs w:val="24"/>
          <w:lang w:val="en-US"/>
        </w:rPr>
        <w:t xml:space="preserve"> Registration System. (See: "How to complete registration before applying?")</w:t>
      </w:r>
    </w:p>
    <w:p w14:paraId="68B2470E" w14:textId="77777777" w:rsidR="000E3CBA" w:rsidRPr="000E3CBA" w:rsidRDefault="000E3CBA" w:rsidP="000E3CBA">
      <w:pPr>
        <w:rPr>
          <w:rFonts w:ascii="Times New Roman" w:hAnsi="Times New Roman" w:cs="Times New Roman"/>
          <w:sz w:val="24"/>
          <w:szCs w:val="24"/>
          <w:lang w:val="en-US"/>
        </w:rPr>
      </w:pPr>
      <w:r w:rsidRPr="000E3CBA">
        <w:rPr>
          <w:rFonts w:ascii="Times New Roman" w:hAnsi="Times New Roman" w:cs="Times New Roman"/>
          <w:sz w:val="24"/>
          <w:szCs w:val="24"/>
          <w:lang w:val="en-US"/>
        </w:rPr>
        <w:t>Higher education institutions in Program Countries must have an "Erasmus Charter for Higher Education (ECHE)."</w:t>
      </w:r>
    </w:p>
    <w:p w14:paraId="1A5CDB73" w14:textId="77777777" w:rsidR="000E3CBA" w:rsidRPr="000E3CBA" w:rsidRDefault="000E3CBA" w:rsidP="000E3CBA">
      <w:pPr>
        <w:rPr>
          <w:rFonts w:ascii="Times New Roman" w:hAnsi="Times New Roman" w:cs="Times New Roman"/>
          <w:sz w:val="24"/>
          <w:szCs w:val="24"/>
          <w:lang w:val="en-US"/>
        </w:rPr>
      </w:pPr>
      <w:r w:rsidRPr="000E3CBA">
        <w:rPr>
          <w:rFonts w:ascii="Times New Roman" w:hAnsi="Times New Roman" w:cs="Times New Roman"/>
          <w:sz w:val="24"/>
          <w:szCs w:val="24"/>
          <w:lang w:val="en-US"/>
        </w:rPr>
        <w:t>ECHE applications are submitted annually to the Executive Agency of the European Commission in Brussels. For detailed information on the ECHE call for proposals:</w:t>
      </w:r>
      <w:r w:rsidRPr="000E3CBA">
        <w:rPr>
          <w:rFonts w:ascii="Times New Roman" w:hAnsi="Times New Roman" w:cs="Times New Roman"/>
          <w:sz w:val="24"/>
          <w:szCs w:val="24"/>
          <w:lang w:val="en-US"/>
        </w:rPr>
        <w:br/>
      </w:r>
      <w:hyperlink r:id="rId5" w:history="1">
        <w:r w:rsidRPr="000E3CBA">
          <w:rPr>
            <w:rStyle w:val="a4"/>
            <w:rFonts w:ascii="Times New Roman" w:hAnsi="Times New Roman" w:cs="Times New Roman"/>
            <w:sz w:val="24"/>
            <w:szCs w:val="24"/>
            <w:lang w:val="en-US"/>
          </w:rPr>
          <w:t>https://erasmus-plus.ec.europa.eu/resources-and-tools/erasmus-charter-for-higher-education</w:t>
        </w:r>
      </w:hyperlink>
    </w:p>
    <w:p w14:paraId="775B8BD0" w14:textId="77777777" w:rsidR="000E3CBA" w:rsidRPr="000E3CBA" w:rsidRDefault="000E3CBA" w:rsidP="000E3CBA">
      <w:pPr>
        <w:rPr>
          <w:rFonts w:ascii="Times New Roman" w:hAnsi="Times New Roman" w:cs="Times New Roman"/>
          <w:sz w:val="24"/>
          <w:szCs w:val="24"/>
          <w:lang w:val="en-US"/>
        </w:rPr>
      </w:pPr>
      <w:r w:rsidRPr="000E3CBA">
        <w:rPr>
          <w:rFonts w:ascii="Times New Roman" w:hAnsi="Times New Roman" w:cs="Times New Roman"/>
          <w:sz w:val="24"/>
          <w:szCs w:val="24"/>
          <w:lang w:val="en-US"/>
        </w:rPr>
        <w:t>How Are Partners Selected?</w:t>
      </w:r>
    </w:p>
    <w:p w14:paraId="0E0F9DE1" w14:textId="77777777" w:rsidR="000E3CBA" w:rsidRPr="000E3CBA" w:rsidRDefault="000E3CBA" w:rsidP="000E3CBA">
      <w:pPr>
        <w:rPr>
          <w:rFonts w:ascii="Times New Roman" w:hAnsi="Times New Roman" w:cs="Times New Roman"/>
          <w:sz w:val="24"/>
          <w:szCs w:val="24"/>
          <w:lang w:val="en-US"/>
        </w:rPr>
      </w:pPr>
      <w:r w:rsidRPr="000E3CBA">
        <w:rPr>
          <w:rFonts w:ascii="Times New Roman" w:hAnsi="Times New Roman" w:cs="Times New Roman"/>
          <w:sz w:val="24"/>
          <w:szCs w:val="24"/>
          <w:lang w:val="en-US"/>
        </w:rPr>
        <w:t>All institutions/organizations participating in the partnership must be identified at the application stage.</w:t>
      </w:r>
    </w:p>
    <w:p w14:paraId="08288933" w14:textId="77777777" w:rsidR="000E3CBA" w:rsidRPr="000E3CBA" w:rsidRDefault="000E3CBA" w:rsidP="000E3CBA">
      <w:pPr>
        <w:rPr>
          <w:rFonts w:ascii="Times New Roman" w:hAnsi="Times New Roman" w:cs="Times New Roman"/>
          <w:sz w:val="24"/>
          <w:szCs w:val="24"/>
          <w:lang w:val="en-US"/>
        </w:rPr>
      </w:pPr>
      <w:r w:rsidRPr="000E3CBA">
        <w:rPr>
          <w:rFonts w:ascii="Times New Roman" w:hAnsi="Times New Roman" w:cs="Times New Roman"/>
          <w:sz w:val="24"/>
          <w:szCs w:val="24"/>
          <w:lang w:val="en-US"/>
        </w:rPr>
        <w:t>Depending on the priorities and objectives of the project, Cooperation Partnerships should include partners with suitable qualifications, numbers, and diversity to leverage different experiences, profiles, and expertise and produce high-quality project results.</w:t>
      </w:r>
    </w:p>
    <w:p w14:paraId="16240F72" w14:textId="77777777" w:rsidR="000E3CBA" w:rsidRPr="000E3CBA" w:rsidRDefault="000E3CBA" w:rsidP="000E3CBA">
      <w:pPr>
        <w:rPr>
          <w:rFonts w:ascii="Times New Roman" w:hAnsi="Times New Roman" w:cs="Times New Roman"/>
          <w:sz w:val="24"/>
          <w:szCs w:val="24"/>
          <w:lang w:val="en-US"/>
        </w:rPr>
      </w:pPr>
      <w:r w:rsidRPr="000E3CBA">
        <w:rPr>
          <w:rFonts w:ascii="Times New Roman" w:hAnsi="Times New Roman" w:cs="Times New Roman"/>
          <w:sz w:val="24"/>
          <w:szCs w:val="24"/>
          <w:lang w:val="en-US"/>
        </w:rPr>
        <w:t>A Cooperation Partnership project must have at least three partners from three different Program Countries.</w:t>
      </w:r>
    </w:p>
    <w:p w14:paraId="00713873" w14:textId="77777777" w:rsidR="000E3CBA" w:rsidRPr="000E3CBA" w:rsidRDefault="000E3CBA" w:rsidP="000E3CBA">
      <w:pPr>
        <w:rPr>
          <w:rFonts w:ascii="Times New Roman" w:hAnsi="Times New Roman" w:cs="Times New Roman"/>
          <w:sz w:val="24"/>
          <w:szCs w:val="24"/>
          <w:lang w:val="en-US"/>
        </w:rPr>
      </w:pPr>
      <w:r w:rsidRPr="000E3CBA">
        <w:rPr>
          <w:rFonts w:ascii="Times New Roman" w:hAnsi="Times New Roman" w:cs="Times New Roman"/>
          <w:sz w:val="24"/>
          <w:szCs w:val="24"/>
          <w:lang w:val="en-US"/>
        </w:rPr>
        <w:t>There is no maximum limit to the number of participating organizations in a partnership.</w:t>
      </w:r>
    </w:p>
    <w:p w14:paraId="128F3174" w14:textId="77777777" w:rsidR="000E3CBA" w:rsidRPr="000E3CBA" w:rsidRDefault="000E3CBA" w:rsidP="000E3CBA">
      <w:pPr>
        <w:rPr>
          <w:rFonts w:ascii="Times New Roman" w:hAnsi="Times New Roman" w:cs="Times New Roman"/>
          <w:sz w:val="24"/>
          <w:szCs w:val="24"/>
          <w:lang w:val="en-US"/>
        </w:rPr>
      </w:pPr>
      <w:r w:rsidRPr="000E3CBA">
        <w:rPr>
          <w:rFonts w:ascii="Times New Roman" w:hAnsi="Times New Roman" w:cs="Times New Roman"/>
          <w:sz w:val="24"/>
          <w:szCs w:val="24"/>
          <w:lang w:val="en-US"/>
        </w:rPr>
        <w:t>If the specific partnership requirements outlined in the Program Guide are met, multiple institutions from the same country can be included in the same project.</w:t>
      </w:r>
    </w:p>
    <w:p w14:paraId="5BD5D65B" w14:textId="77777777" w:rsidR="00F16024" w:rsidRPr="000E3CBA" w:rsidRDefault="00F16024" w:rsidP="000E3CBA">
      <w:pPr>
        <w:rPr>
          <w:rFonts w:ascii="Times New Roman" w:hAnsi="Times New Roman" w:cs="Times New Roman"/>
          <w:sz w:val="24"/>
          <w:szCs w:val="24"/>
          <w:lang w:val="en-US"/>
        </w:rPr>
      </w:pPr>
    </w:p>
    <w:sectPr w:rsidR="00F16024" w:rsidRPr="000E3C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645E5"/>
    <w:multiLevelType w:val="multilevel"/>
    <w:tmpl w:val="2FBEE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3B39CD"/>
    <w:multiLevelType w:val="multilevel"/>
    <w:tmpl w:val="7530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460E73"/>
    <w:multiLevelType w:val="multilevel"/>
    <w:tmpl w:val="F3464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CBA"/>
    <w:rsid w:val="000E3CBA"/>
    <w:rsid w:val="00522182"/>
    <w:rsid w:val="00BB6E15"/>
    <w:rsid w:val="00D701AC"/>
    <w:rsid w:val="00F160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E2C9E"/>
  <w15:chartTrackingRefBased/>
  <w15:docId w15:val="{ECED6BD8-F314-47D3-AD9C-CC9D5E6B8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0E3CB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E3C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0E3CBA"/>
    <w:rPr>
      <w:rFonts w:ascii="Times New Roman" w:eastAsia="Times New Roman" w:hAnsi="Times New Roman" w:cs="Times New Roman"/>
      <w:b/>
      <w:bCs/>
      <w:sz w:val="36"/>
      <w:szCs w:val="36"/>
      <w:lang w:eastAsia="ru-RU"/>
    </w:rPr>
  </w:style>
  <w:style w:type="character" w:styleId="a4">
    <w:name w:val="Hyperlink"/>
    <w:basedOn w:val="a0"/>
    <w:uiPriority w:val="99"/>
    <w:unhideWhenUsed/>
    <w:rsid w:val="000E3C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0904">
      <w:bodyDiv w:val="1"/>
      <w:marLeft w:val="0"/>
      <w:marRight w:val="0"/>
      <w:marTop w:val="0"/>
      <w:marBottom w:val="0"/>
      <w:divBdr>
        <w:top w:val="none" w:sz="0" w:space="0" w:color="auto"/>
        <w:left w:val="none" w:sz="0" w:space="0" w:color="auto"/>
        <w:bottom w:val="none" w:sz="0" w:space="0" w:color="auto"/>
        <w:right w:val="none" w:sz="0" w:space="0" w:color="auto"/>
      </w:divBdr>
    </w:div>
    <w:div w:id="932935256">
      <w:bodyDiv w:val="1"/>
      <w:marLeft w:val="0"/>
      <w:marRight w:val="0"/>
      <w:marTop w:val="0"/>
      <w:marBottom w:val="0"/>
      <w:divBdr>
        <w:top w:val="none" w:sz="0" w:space="0" w:color="auto"/>
        <w:left w:val="none" w:sz="0" w:space="0" w:color="auto"/>
        <w:bottom w:val="none" w:sz="0" w:space="0" w:color="auto"/>
        <w:right w:val="none" w:sz="0" w:space="0" w:color="auto"/>
      </w:divBdr>
    </w:div>
    <w:div w:id="201444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rasmus-plus.ec.europa.eu/resources-and-tools/erasmus-charter-for-higher-education"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1053</Words>
  <Characters>6008</Characters>
  <Application>Microsoft Office Word</Application>
  <DocSecurity>0</DocSecurity>
  <Lines>50</Lines>
  <Paragraphs>14</Paragraphs>
  <ScaleCrop>false</ScaleCrop>
  <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2025-10-06T08:41:00Z</dcterms:created>
  <dcterms:modified xsi:type="dcterms:W3CDTF">2025-10-06T08:52:00Z</dcterms:modified>
</cp:coreProperties>
</file>